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>Разъяснения по ЖКХ.</w:t>
      </w:r>
    </w:p>
    <w:p w14:paraId="02000000">
      <w:pPr>
        <w:pStyle w:val="Style_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 01.03.2026 действует единый срок для оплаты жилищно-коммунальных услуг – до 15-го числа месяца, следующего за расчетным.</w:t>
      </w:r>
    </w:p>
    <w:p w14:paraId="03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Одновременно с этим и изменен срок предоставления платежных документов – не позднее 5-го числа.</w:t>
      </w:r>
    </w:p>
    <w:p w14:paraId="04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Указанные сроки теперь нельзя изменить ни договоро управления домом, ни решением общего собрания собственников.</w:t>
      </w:r>
    </w:p>
    <w:p w14:paraId="05000000">
      <w:pPr>
        <w:pStyle w:val="Style_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 мая 2026 года в квитанциях на оплату ЖКУ появились новые строки, такие как уборка подъездов, содержание лифта, обслуживание счетчиков, а также отдельно перерасчеты и льготы.</w:t>
      </w:r>
    </w:p>
    <w:p w14:paraId="06000000">
      <w:pPr>
        <w:pStyle w:val="Style_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определены требования к материальному обеспечению и персоналу управляющих компаний. Нововведения предусмотрены постановлением Правительства Российской Федерации от 23.05.2026 № 588.</w:t>
      </w:r>
    </w:p>
    <w:p w14:paraId="07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С 01.09.2026  в регионе, где компания</w:t>
      </w:r>
      <w:r>
        <w:rPr>
          <w:rStyle w:val="Style_1_ch"/>
          <w:rFonts w:ascii="Times New Roman" w:hAnsi="Times New Roman"/>
        </w:rPr>
        <w:t xml:space="preserve"> ведет деятельность, нужно иметь нежилое помещение для приема или хранения подлинников документов об управлении многоквартирными домами (МКД). К ним относятся решения и протоколы общего собрания собственников, технические документы на дом и другие.</w:t>
      </w:r>
    </w:p>
    <w:p w14:paraId="08000000">
      <w:pPr>
        <w:pStyle w:val="Style_1"/>
        <w:ind w:firstLine="709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Нежилое помещение должно быть в собственности или в аренде у самой управляющей компании либо у того, кого она привлекла по гражданскому договору. В заявлении о продлении лицензии нужно будет указывать, в том числе сведения о наличии у компании этого помещения или о заключении данного соглашения. Если такую недвижимость взяли в аренду на срок менее года, то к заявлению надо приложить копию договора аренды.</w:t>
      </w:r>
    </w:p>
    <w:p w14:paraId="09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В штате управляющей компании, соискателя лицензии или контрагента по гражданскому договору (если последний не ИП) должен быть хотя бы один работник, который:</w:t>
      </w:r>
    </w:p>
    <w:p w14:paraId="0A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- обеспечивает постоянную готовность инженерных коммуникаций, систем электроснабжения, приборов учета и другого оборудования в общем имуществе МКД для оказания коммунальных услуг;</w:t>
      </w:r>
    </w:p>
    <w:p w14:paraId="0B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- убирает и проводит санитарно-гигиеническую очистку помещений общего пользования, а также участка под МКД;</w:t>
      </w:r>
    </w:p>
    <w:p w14:paraId="0C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- занимается содержанием, текущим ремонтом и подготовкой к сезонной эксплуатации общего имущества, а также элементов благоустройства и иных подобных объектов на упомянутом участке.</w:t>
      </w:r>
    </w:p>
    <w:p w14:paraId="0D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>Несоблюдение требований к материально-техническому обеспечению и персоналу станет грубым нарушением.</w:t>
      </w:r>
    </w:p>
    <w:p w14:paraId="0E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</w:rPr>
      </w:pPr>
      <w:r>
        <w:rPr>
          <w:rStyle w:val="Style_1_ch"/>
          <w:rFonts w:ascii="Times New Roman" w:hAnsi="Times New Roman"/>
        </w:rPr>
        <w:t xml:space="preserve">За управление МКД с грубым нарушением лицензионных требований должностным лицам грозит штраф по ст. 14.1.3 </w:t>
      </w:r>
      <w:r>
        <w:rPr>
          <w:rStyle w:val="Style_1_ch"/>
          <w:rFonts w:ascii="Times New Roman" w:hAnsi="Times New Roman"/>
        </w:rPr>
        <w:t>КоАП</w:t>
      </w:r>
      <w:r>
        <w:rPr>
          <w:rStyle w:val="Style_1_ch"/>
          <w:rFonts w:ascii="Times New Roman" w:hAnsi="Times New Roman"/>
        </w:rPr>
        <w:t xml:space="preserve"> РФ от 100 тыс. до 250 тыс. руб. или дисквалификация до 3 лет.</w:t>
      </w:r>
      <w:r>
        <w:rPr>
          <w:rStyle w:val="Style_1_ch"/>
          <w:rFonts w:ascii="Times New Roman" w:hAnsi="Times New Roman"/>
        </w:rPr>
        <w:t>Организации и ИП заплатят от 300 тыс. до 350  тыс. руб.</w:t>
      </w:r>
    </w:p>
    <w:p w14:paraId="0F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2026-07-03T12:16:20Z</dcterms:created>
  <dcterms:modified xsi:type="dcterms:W3CDTF">2026-07-03T12:16:20Z</dcterms:modified>
</cp:coreProperties>
</file>